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98" w:rsidRPr="00D26B98" w:rsidRDefault="00D26B98" w:rsidP="00D26B98">
      <w:pPr>
        <w:spacing w:line="256" w:lineRule="auto"/>
        <w:rPr>
          <w:rFonts w:ascii="Calibri" w:eastAsia="Times New Roman" w:hAnsi="Calibri" w:cs="Calibri"/>
          <w:lang w:eastAsia="fr-BE"/>
        </w:rPr>
      </w:pPr>
      <w:bookmarkStart w:id="0" w:name="_GoBack"/>
      <w:r w:rsidRPr="00D26B98">
        <w:rPr>
          <w:rFonts w:ascii="Calibri" w:eastAsia="Times New Roman" w:hAnsi="Calibri" w:cs="Calibri"/>
          <w:b/>
          <w:bCs/>
          <w:sz w:val="28"/>
          <w:szCs w:val="28"/>
          <w:lang w:val="fr-FR" w:eastAsia="fr-BE"/>
        </w:rPr>
        <w:t>L’Aide à la Réussite : Quand les étudiants aident les étudiants</w:t>
      </w:r>
      <w:bookmarkEnd w:id="0"/>
      <w:r w:rsidRPr="00D26B98">
        <w:rPr>
          <w:rFonts w:ascii="Calibri" w:eastAsia="Times New Roman" w:hAnsi="Calibri" w:cs="Calibri"/>
          <w:b/>
          <w:bCs/>
          <w:sz w:val="28"/>
          <w:szCs w:val="28"/>
          <w:lang w:val="fr-FR" w:eastAsia="fr-BE"/>
        </w:rPr>
        <w:t>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b/>
          <w:bCs/>
          <w:u w:val="single"/>
          <w:lang w:val="fr-FR" w:eastAsia="fr-BE"/>
        </w:rPr>
        <w:t>Thématique</w:t>
      </w:r>
      <w:r w:rsidRPr="00D26B98">
        <w:rPr>
          <w:rFonts w:ascii="Calibri" w:eastAsia="Times New Roman" w:hAnsi="Calibri" w:cs="Calibri"/>
          <w:b/>
          <w:bCs/>
          <w:lang w:val="fr-FR" w:eastAsia="fr-BE"/>
        </w:rPr>
        <w:t> : autonomie de l’apprenant (I)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b/>
          <w:bCs/>
          <w:lang w:val="fr-FR" w:eastAsia="fr-BE"/>
        </w:rPr>
        <w:t>(+ stratégies d’apprentissage (h</w:t>
      </w:r>
      <w:proofErr w:type="gramStart"/>
      <w:r w:rsidRPr="00D26B98">
        <w:rPr>
          <w:rFonts w:ascii="Calibri" w:eastAsia="Times New Roman" w:hAnsi="Calibri" w:cs="Calibri"/>
          <w:b/>
          <w:bCs/>
          <w:lang w:val="fr-FR" w:eastAsia="fr-BE"/>
        </w:rPr>
        <w:t>) )</w:t>
      </w:r>
      <w:proofErr w:type="gramEnd"/>
      <w:r w:rsidRPr="00D26B98">
        <w:rPr>
          <w:rFonts w:ascii="Calibri" w:eastAsia="Times New Roman" w:hAnsi="Calibri" w:cs="Calibri"/>
          <w:b/>
          <w:bCs/>
          <w:lang w:val="fr-FR" w:eastAsia="fr-BE"/>
        </w:rPr>
        <w:t>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b/>
          <w:bCs/>
          <w:lang w:val="fr-FR" w:eastAsia="fr-BE"/>
        </w:rPr>
        <w:t>Format : Contribution courte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lang w:val="fr-FR" w:eastAsia="fr-BE"/>
        </w:rPr>
        <w:t>Les enseignants sont de plus en plus amenés à devoir gérer la multiplicité des parcours des apprenants, l’hétérogénéité des groupes et la pluralité des profils. Comment différencier cet apprentissage tout en permettant à l’étudiant de devenir autonome ?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lang w:val="fr-FR" w:eastAsia="fr-BE"/>
        </w:rPr>
        <w:t>Suite à la crise sanitaire, L’ILV s’est lancé dans un programme de parrainage avec des étudiants – moniteurs dans quatre langues afin de lutter contre le décrochage. Des étudiants de Master, issus de filières différentes, ont encadré plus de 1600 étudiants de BAC1 depuis la mise en place du projet.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color w:val="201F1E"/>
          <w:shd w:val="clear" w:color="auto" w:fill="FFFFFF"/>
          <w:lang w:val="fr-FR" w:eastAsia="fr-BE"/>
        </w:rPr>
        <w:t>Par quelles étapes sommes-nous passés pour mettre en place ce dispositif ?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color w:val="201F1E"/>
          <w:shd w:val="clear" w:color="auto" w:fill="FFFFFF"/>
          <w:lang w:val="fr-FR" w:eastAsia="fr-BE"/>
        </w:rPr>
        <w:t xml:space="preserve">Nous vous proposerons de découvrir ce programme d’entraide et de réfléchir à son intégration dans le parcours académique des étudiants. Nous échangerons sur l’intérêt que présente ce type d’aide tant pour rendre nos étudiants plus autonomes que pour renforcer le lien social. Nous décrirons ensuite </w:t>
      </w:r>
      <w:r w:rsidRPr="00D26B98">
        <w:rPr>
          <w:rFonts w:ascii="Calibri" w:eastAsia="Times New Roman" w:hAnsi="Calibri" w:cs="Calibri"/>
          <w:bdr w:val="none" w:sz="0" w:space="0" w:color="auto" w:frame="1"/>
          <w:shd w:val="clear" w:color="auto" w:fill="FFFFFF"/>
          <w:lang w:val="fr-FR" w:eastAsia="fr-BE"/>
        </w:rPr>
        <w:t>le</w:t>
      </w:r>
      <w:r w:rsidRPr="00D26B98">
        <w:rPr>
          <w:rFonts w:ascii="Calibri" w:eastAsia="Times New Roman" w:hAnsi="Calibri" w:cs="Calibri"/>
          <w:color w:val="201F1E"/>
          <w:shd w:val="clear" w:color="auto" w:fill="FFFFFF"/>
          <w:lang w:val="fr-FR" w:eastAsia="fr-BE"/>
        </w:rPr>
        <w:t> rôle joué par notre équipe pour accompagner les étudiant - moniteurs.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color w:val="201F1E"/>
          <w:shd w:val="clear" w:color="auto" w:fill="FFFFFF"/>
          <w:lang w:val="fr-FR" w:eastAsia="fr-BE"/>
        </w:rPr>
        <w:t>Au vu des statistiques, ce type d’encadrement se révèle de plus en plus indispensable si l’université se donne pour mission de rester démocratique et accessible au plus grand nombre.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color w:val="201F1E"/>
          <w:shd w:val="clear" w:color="auto" w:fill="FFFFFF"/>
          <w:lang w:val="fr-FR" w:eastAsia="fr-BE"/>
        </w:rPr>
        <w:t>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b/>
          <w:bCs/>
          <w:color w:val="201F1E"/>
          <w:shd w:val="clear" w:color="auto" w:fill="FFFFFF"/>
          <w:lang w:val="fr-FR" w:eastAsia="fr-BE"/>
        </w:rPr>
        <w:t>Intervenants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color w:val="201F1E"/>
          <w:shd w:val="clear" w:color="auto" w:fill="FFFFFF"/>
          <w:lang w:val="fr-FR" w:eastAsia="fr-BE"/>
        </w:rPr>
        <w:t xml:space="preserve">Fanny </w:t>
      </w:r>
      <w:proofErr w:type="spellStart"/>
      <w:r w:rsidRPr="00D26B98">
        <w:rPr>
          <w:rFonts w:ascii="Calibri" w:eastAsia="Times New Roman" w:hAnsi="Calibri" w:cs="Calibri"/>
          <w:color w:val="201F1E"/>
          <w:shd w:val="clear" w:color="auto" w:fill="FFFFFF"/>
          <w:lang w:val="fr-FR" w:eastAsia="fr-BE"/>
        </w:rPr>
        <w:t>Desterbecq</w:t>
      </w:r>
      <w:proofErr w:type="spellEnd"/>
      <w:r w:rsidRPr="00D26B98">
        <w:rPr>
          <w:rFonts w:ascii="Calibri" w:eastAsia="Times New Roman" w:hAnsi="Calibri" w:cs="Calibri"/>
          <w:color w:val="201F1E"/>
          <w:shd w:val="clear" w:color="auto" w:fill="FFFFFF"/>
          <w:lang w:val="fr-FR" w:eastAsia="fr-BE"/>
        </w:rPr>
        <w:t xml:space="preserve">, </w:t>
      </w:r>
      <w:proofErr w:type="spellStart"/>
      <w:r w:rsidRPr="00D26B98">
        <w:rPr>
          <w:rFonts w:ascii="Calibri" w:eastAsia="Times New Roman" w:hAnsi="Calibri" w:cs="Calibri"/>
          <w:color w:val="201F1E"/>
          <w:shd w:val="clear" w:color="auto" w:fill="FFFFFF"/>
          <w:lang w:val="fr-FR" w:eastAsia="fr-BE"/>
        </w:rPr>
        <w:t>UCLouvain</w:t>
      </w:r>
      <w:proofErr w:type="spellEnd"/>
      <w:r w:rsidRPr="00D26B98">
        <w:rPr>
          <w:rFonts w:ascii="Calibri" w:eastAsia="Times New Roman" w:hAnsi="Calibri" w:cs="Calibri"/>
          <w:color w:val="201F1E"/>
          <w:shd w:val="clear" w:color="auto" w:fill="FFFFFF"/>
          <w:lang w:val="fr-FR" w:eastAsia="fr-BE"/>
        </w:rPr>
        <w:t xml:space="preserve"> – ILV </w:t>
      </w:r>
      <w:proofErr w:type="gramStart"/>
      <w:r w:rsidRPr="00D26B98">
        <w:rPr>
          <w:rFonts w:ascii="Calibri" w:eastAsia="Times New Roman" w:hAnsi="Calibri" w:cs="Calibri"/>
          <w:color w:val="201F1E"/>
          <w:shd w:val="clear" w:color="auto" w:fill="FFFFFF"/>
          <w:lang w:val="fr-FR" w:eastAsia="fr-BE"/>
        </w:rPr>
        <w:t>:  </w:t>
      </w:r>
      <w:proofErr w:type="gramEnd"/>
      <w:hyperlink r:id="rId4" w:tgtFrame="_blank" w:history="1">
        <w:r w:rsidRPr="00D26B98">
          <w:rPr>
            <w:rFonts w:ascii="montserrat" w:eastAsia="Times New Roman" w:hAnsi="montserrat" w:cs="Calibri"/>
            <w:color w:val="337AB7"/>
            <w:u w:val="single"/>
            <w:shd w:val="clear" w:color="auto" w:fill="FFFFFF"/>
            <w:lang w:eastAsia="fr-BE"/>
          </w:rPr>
          <w:t>fanny.desterbecq@uclouvain.be</w:t>
        </w:r>
      </w:hyperlink>
      <w:r w:rsidRPr="00D26B98">
        <w:rPr>
          <w:rFonts w:ascii="Calibri" w:eastAsia="Times New Roman" w:hAnsi="Calibri" w:cs="Calibri"/>
          <w:lang w:eastAsia="fr-BE"/>
        </w:rPr>
        <w:t> </w:t>
      </w:r>
    </w:p>
    <w:p w:rsidR="00D26B98" w:rsidRPr="00D26B98" w:rsidRDefault="00D26B98" w:rsidP="00D26B98">
      <w:pPr>
        <w:spacing w:line="256" w:lineRule="auto"/>
        <w:rPr>
          <w:rFonts w:ascii="Calibri" w:eastAsia="Times New Roman" w:hAnsi="Calibri" w:cs="Calibri"/>
          <w:lang w:eastAsia="fr-BE"/>
        </w:rPr>
      </w:pPr>
      <w:r w:rsidRPr="00D26B98">
        <w:rPr>
          <w:rFonts w:ascii="Calibri" w:eastAsia="Times New Roman" w:hAnsi="Calibri" w:cs="Calibri"/>
          <w:lang w:eastAsia="fr-BE"/>
        </w:rPr>
        <w:t xml:space="preserve">Marielle </w:t>
      </w:r>
      <w:proofErr w:type="spellStart"/>
      <w:r w:rsidRPr="00D26B98">
        <w:rPr>
          <w:rFonts w:ascii="Calibri" w:eastAsia="Times New Roman" w:hAnsi="Calibri" w:cs="Calibri"/>
          <w:lang w:eastAsia="fr-BE"/>
        </w:rPr>
        <w:t>Henriet</w:t>
      </w:r>
      <w:proofErr w:type="spellEnd"/>
      <w:r w:rsidRPr="00D26B98">
        <w:rPr>
          <w:rFonts w:ascii="Calibri" w:eastAsia="Times New Roman" w:hAnsi="Calibri" w:cs="Calibri"/>
          <w:lang w:eastAsia="fr-BE"/>
        </w:rPr>
        <w:t xml:space="preserve">, </w:t>
      </w:r>
      <w:proofErr w:type="spellStart"/>
      <w:r w:rsidRPr="00D26B98">
        <w:rPr>
          <w:rFonts w:ascii="Calibri" w:eastAsia="Times New Roman" w:hAnsi="Calibri" w:cs="Calibri"/>
          <w:lang w:eastAsia="fr-BE"/>
        </w:rPr>
        <w:t>UCLouvain</w:t>
      </w:r>
      <w:proofErr w:type="spellEnd"/>
      <w:r w:rsidRPr="00D26B98">
        <w:rPr>
          <w:rFonts w:ascii="Calibri" w:eastAsia="Times New Roman" w:hAnsi="Calibri" w:cs="Calibri"/>
          <w:lang w:eastAsia="fr-BE"/>
        </w:rPr>
        <w:t xml:space="preserve">, ILV : </w:t>
      </w:r>
      <w:hyperlink r:id="rId5" w:tgtFrame="_blank" w:history="1">
        <w:r w:rsidRPr="00D26B98">
          <w:rPr>
            <w:rFonts w:ascii="montserrat" w:eastAsia="Times New Roman" w:hAnsi="montserrat" w:cs="Calibri"/>
            <w:color w:val="337AB7"/>
            <w:u w:val="single"/>
            <w:shd w:val="clear" w:color="auto" w:fill="FFFFFF"/>
            <w:lang w:eastAsia="fr-BE"/>
          </w:rPr>
          <w:t>marielle.henriet@uclouvain.be</w:t>
        </w:r>
      </w:hyperlink>
      <w:r w:rsidRPr="00D26B98">
        <w:rPr>
          <w:rFonts w:ascii="Calibri" w:eastAsia="Times New Roman" w:hAnsi="Calibri" w:cs="Calibri"/>
          <w:lang w:val="fr-FR" w:eastAsia="fr-BE"/>
        </w:rPr>
        <w:t> </w:t>
      </w:r>
    </w:p>
    <w:p w:rsidR="009C305C" w:rsidRDefault="009C305C"/>
    <w:sectPr w:rsidR="009C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98"/>
    <w:rsid w:val="009C305C"/>
    <w:rsid w:val="00D26B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A28F5-739B-4B83-BB41-16FDBF3B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lle.henriet@uclouvain.be" TargetMode="External"/><Relationship Id="rId4" Type="http://schemas.openxmlformats.org/officeDocument/2006/relationships/hyperlink" Target="mailto:fanny.desterbecq@uclouva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Doppagne Véronique</dc:creator>
  <cp:keywords/>
  <dc:description/>
  <cp:lastModifiedBy>Doppagne Véronique</cp:lastModifiedBy>
  <cp:revision>1</cp:revision>
  <dcterms:created xsi:type="dcterms:W3CDTF">2022-03-01T11:08:00Z</dcterms:created>
  <dcterms:modified xsi:type="dcterms:W3CDTF">2022-03-01T11:09:00Z</dcterms:modified>
</cp:coreProperties>
</file>